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vanish/>
          <w:sz w:val="28"/>
          <w:szCs w:val="28"/>
          <w:highlight w:val="yellow"/>
          <w:lang w:val="ru-RU"/>
        </w:rPr>
      </w:pPr>
      <w:r>
        <w:rPr>
          <w:rFonts w:ascii="仿宋" w:hAnsi="仿宋" w:eastAsia="仿宋" w:cs="仿宋"/>
          <w:vanish/>
          <w:sz w:val="28"/>
          <w:szCs w:val="28"/>
          <w:highlight w:val="yellow"/>
          <w:lang w:val="ru-RU"/>
        </w:rPr>
        <w:t>参考链接，无需翻译</w:t>
      </w:r>
    </w:p>
    <w:p>
      <w:pPr>
        <w:rPr>
          <w:rFonts w:ascii="仿宋" w:hAnsi="仿宋" w:eastAsia="仿宋" w:cs="仿宋"/>
          <w:vanish/>
          <w:sz w:val="28"/>
          <w:szCs w:val="28"/>
          <w:highlight w:val="yellow"/>
          <w:lang w:val="ru-RU"/>
        </w:rPr>
      </w:pPr>
      <w:r>
        <w:rPr>
          <w:rFonts w:ascii="仿宋" w:hAnsi="仿宋" w:eastAsia="仿宋" w:cs="仿宋"/>
          <w:vanish/>
          <w:sz w:val="28"/>
          <w:szCs w:val="28"/>
          <w:highlight w:val="yellow"/>
          <w:lang w:val="ru-RU"/>
        </w:rPr>
        <w:t>英文</w:t>
      </w:r>
    </w:p>
    <w:p>
      <w:pPr>
        <w:rPr>
          <w:rFonts w:ascii="仿宋" w:hAnsi="仿宋" w:eastAsia="仿宋" w:cs="仿宋"/>
          <w:vanish/>
          <w:sz w:val="28"/>
          <w:szCs w:val="28"/>
          <w:highlight w:val="yellow"/>
          <w:lang w:val="ru-RU"/>
        </w:rPr>
      </w:pPr>
      <w:r>
        <w:rPr>
          <w:rFonts w:ascii="仿宋" w:hAnsi="仿宋" w:eastAsia="仿宋" w:cs="仿宋"/>
          <w:vanish/>
          <w:sz w:val="28"/>
          <w:szCs w:val="28"/>
          <w:highlight w:val="yellow"/>
          <w:lang w:val="ru-RU"/>
        </w:rPr>
        <w:t>http://kw.beijing.gov.cn/attach/0/c79b27a28ec14fb0bfac05040dae183e.pdf</w:t>
      </w:r>
    </w:p>
    <w:p>
      <w:pPr>
        <w:pStyle w:val="2"/>
        <w:spacing w:beforeAutospacing="0" w:afterAutospacing="0" w:line="560" w:lineRule="exact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ru-RU"/>
        </w:rPr>
      </w:pPr>
      <w:bookmarkStart w:id="0" w:name="_GoBack"/>
      <w:r>
        <w:rPr>
          <w:rFonts w:hint="default" w:ascii="Times New Roman" w:hAnsi="Times New Roman" w:eastAsia="Times New Roman"/>
          <w:b w:val="0"/>
          <w:bCs w:val="0"/>
          <w:color w:val="000000"/>
          <w:sz w:val="32"/>
          <w:szCs w:val="32"/>
          <w:shd w:val="clear" w:color="auto" w:fill="FFFFFF"/>
          <w:lang w:val="ru-RU"/>
        </w:rPr>
        <w:t>Приложение 1</w:t>
      </w:r>
    </w:p>
    <w:bookmarkEnd w:id="0"/>
    <w:p>
      <w:pPr>
        <w:pStyle w:val="2"/>
        <w:spacing w:beforeAutospacing="0" w:afterAutospacing="0" w:line="560" w:lineRule="exact"/>
        <w:jc w:val="center"/>
        <w:rPr>
          <w:rFonts w:hint="default" w:ascii="Times New Roman" w:hAnsi="Times New Roman" w:eastAsia="Times New Roman"/>
          <w:b w:val="0"/>
          <w:bCs w:val="0"/>
          <w:color w:val="000000"/>
          <w:sz w:val="36"/>
          <w:szCs w:val="36"/>
          <w:shd w:val="clear" w:color="auto" w:fill="FFFFFF"/>
          <w:lang w:val="ru-RU"/>
        </w:rPr>
      </w:pPr>
    </w:p>
    <w:p>
      <w:pPr>
        <w:pStyle w:val="2"/>
        <w:spacing w:beforeAutospacing="0" w:afterAutospacing="0" w:line="560" w:lineRule="exact"/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sz w:val="36"/>
          <w:szCs w:val="36"/>
          <w:shd w:val="clear" w:color="auto" w:fill="FFFFFF"/>
          <w:lang w:val="ru-RU"/>
        </w:rPr>
      </w:pPr>
      <w:r>
        <w:rPr>
          <w:rFonts w:hint="default" w:ascii="Times New Roman" w:hAnsi="Times New Roman" w:eastAsia="Times New Roman"/>
          <w:b/>
          <w:bCs/>
          <w:color w:val="000000"/>
          <w:sz w:val="36"/>
          <w:szCs w:val="36"/>
          <w:shd w:val="clear" w:color="auto" w:fill="FFFFFF"/>
          <w:lang w:val="ru-RU"/>
        </w:rPr>
        <w:t>Инструкция по подаче заявок на участие иностранных ученых в проектах Городского фонда естественных наук Пекина на 2023 год</w:t>
      </w:r>
    </w:p>
    <w:p>
      <w:pPr>
        <w:pStyle w:val="5"/>
        <w:spacing w:beforeAutospacing="0" w:afterAutospacing="0" w:line="560" w:lineRule="exact"/>
        <w:jc w:val="both"/>
        <w:rPr>
          <w:lang w:val="ru-RU"/>
        </w:rPr>
      </w:pP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В целях проведения работы по подаче заявок на участие иностранных ученых в проектах Городского фонда естественных наук Пекина (далее – городской фонд) на 2023 год (далее – проекты для иностранных ученых) была составлена настоящая инструкция в качестве руководства по подаче заявок на проекты для иностранных ученых.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I. Вопросы, касающиеся заявителя</w:t>
      </w:r>
    </w:p>
    <w:p>
      <w:pPr>
        <w:spacing w:line="560" w:lineRule="exact"/>
        <w:ind w:firstLine="640" w:firstLineChars="200"/>
        <w:rPr>
          <w:lang w:val="ru-RU"/>
        </w:rPr>
      </w:pPr>
      <w:r>
        <w:rPr>
          <w:rFonts w:ascii="楷体_GB2312" w:hAnsi="楷体_GB2312" w:eastAsia="楷体_GB2312" w:cs="楷体_GB2312"/>
          <w:sz w:val="32"/>
          <w:szCs w:val="32"/>
          <w:lang w:val="ru-RU"/>
        </w:rPr>
        <w:t>（一）申请人条件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lang w:val="ru-RU"/>
        </w:rPr>
        <w:t>(I) Требования к заявителю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Заявитель-иностранец должен быть фактическим руководителем заявленного проекта и удовлетворять нижеследующим требованиям: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1. Учреждение, в котором работает заявитель, является поддерживающим учреждением;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2. Заявитель имеет опыт исполнения проектов фундаментальных и прикладных фундаментальных исследований или осуществления иной деятельности в области фундаментальных и прикладных фундаментальных исследований, а также может обеспечить время проведения исследований по заявленному проекту;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3. Предлагаемая исследовательская работа относится к фундаментальным или прикладным фундаментальным исследованиям инновационного характера;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4. Заявитель является выпускником учебного заведения, входящего в топ-500 вузов по мировому рейтингу QS (на основании рейтинга на дату публикации уведомления о подаче заявки) или окончил учебу в известных китайских или зарубежных научно-исследовательских институтах;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5. Заявитель должен иметь разрешение на работу в Китае, срок действия заключенных им контрактов или соглашений о сотрудничестве на трудовую деятельность, разработку технологий, поручение и прочее должен охватывать заявленный им цикл реализации проекта (цикл реализации проекта начинается с момента утверждения проекта в год его утверждения);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6. Во время работы в Китае заявитель обязан соблюдать законы и нормативные акты КНР и положения управления Городского фонда естественных наук Пекина.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shd w:val="clear" w:color="auto" w:fill="FFFFFF"/>
          <w:lang w:val="ru-RU"/>
        </w:rPr>
        <w:t>Иностранные ученые, отвечающие требованиям, изложенным в статьях 2-6, и опирающиеся на важные объекты научно-технической и научно-образовательной инфраструктуры, платформы междисциплинарных исследований в Пекине для проведения научно-исследовательского сотрудничества, могут подавать заявки на проекты для иностранных ученых по каналам соответствующих поддерживающих учреждений с их согласия.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lang w:val="ru-RU"/>
        </w:rPr>
        <w:t>(II) Установки об управлении заявителями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shd w:val="clear" w:color="auto" w:fill="FFFFFF"/>
          <w:lang w:val="ru-RU"/>
        </w:rPr>
        <w:t>1. Заявитель может подавать заявку только на один из проектов для иностранных ученых в год.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2. Заявителю, который уже получил грант на исполнение проекта для иностранных ученых или проекта для иностранных ученых аналогичного уровня в области фундаментальных исследований в Пекине в качестве руководителя проекта, не разрешается подавать заявки на проекты для иностранных ученых в качестве заявителя.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shd w:val="clear" w:color="auto" w:fill="FFFFFF"/>
          <w:lang w:val="ru-RU"/>
        </w:rPr>
        <w:t>II. Примечания для заявителей и поддерживающих учреждений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(I) Примечания для заявителей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  <w:lang w:val="ru-RU"/>
        </w:rPr>
      </w:pPr>
      <w:r>
        <w:rPr>
          <w:rFonts w:ascii="Times New Roman" w:hAnsi="Times New Roman" w:eastAsia="Times New Roman"/>
          <w:sz w:val="32"/>
          <w:szCs w:val="32"/>
          <w:lang w:val="ru-RU"/>
        </w:rPr>
        <w:t>1. Форма заявки должна быть заполнена самим заявителем на английском или китайском языке, заявитель несет ответственность за подлинность и законность представленных заявочных материалов.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  <w:lang w:val="ru-RU"/>
        </w:rPr>
      </w:pPr>
      <w:r>
        <w:rPr>
          <w:rFonts w:ascii="Times New Roman" w:hAnsi="Times New Roman" w:eastAsia="Times New Roman"/>
          <w:sz w:val="32"/>
          <w:szCs w:val="32"/>
          <w:lang w:val="ru-RU"/>
        </w:rPr>
        <w:t>2. Цикл реализации проекта начинается с момента утверждения проекта в год его утверждения.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  <w:lang w:val="ru-RU"/>
        </w:rPr>
      </w:pPr>
      <w:r>
        <w:rPr>
          <w:rFonts w:ascii="Times New Roman" w:hAnsi="Times New Roman" w:eastAsia="Times New Roman"/>
          <w:sz w:val="32"/>
          <w:szCs w:val="32"/>
          <w:lang w:val="ru-RU"/>
        </w:rPr>
        <w:t>3. Разрешение на работу в Китае, имеющееся у заявителя, контракты или соглашения о сотрудничестве на трудовую деятельность, разработку технологий, поручение и прочее, заключенные заявителем с поддерживающим учреждением, должны быть загружены в служебную сетевую систему поддерживающего учреждения в виде приложений.</w:t>
      </w:r>
    </w:p>
    <w:p>
      <w:pPr>
        <w:wordWrap w:val="0"/>
        <w:spacing w:line="560" w:lineRule="exact"/>
        <w:ind w:firstLine="640" w:firstLineChars="200"/>
        <w:rPr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4. Заявитель должен выбрать точный код заявленной дисциплины в выпадающем меню «Заявленная дисциплина» в соответствии с направлением исследований или областью исследований, на которую он подает заявку. Для каждого заявочного проекта можно выбрать два кода заявленной дисциплины, пожалуйста, по возможности выбирайте до кода дисциплины второго уровня.</w:t>
      </w:r>
    </w:p>
    <w:p>
      <w:pPr>
        <w:wordWrap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5. В краткие сведения о членах проектной команды должны включаться их репрезентативные результаты, достигнутые за последние пять лет. Число репрезентативных результатов в принципе не должно превышать пяти.</w:t>
      </w:r>
    </w:p>
    <w:p>
      <w:pPr>
        <w:wordWrap w:val="0"/>
        <w:spacing w:line="560" w:lineRule="exact"/>
        <w:ind w:firstLine="640" w:firstLineChars="200"/>
        <w:rPr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6. Сотрудничающее учреждение должно быть независимым юридическим лицом, наименование которого, указанное в форме заявки, должно соответствовать его официальной печати. Если сотрудничающее учреждение находится за границей, его официальная печать может быть не проставлена. Количество сотрудничающих учреждений не должно превышать 2.</w:t>
      </w:r>
    </w:p>
    <w:p>
      <w:pPr>
        <w:wordWrap w:val="0"/>
        <w:spacing w:line="560" w:lineRule="exact"/>
        <w:ind w:firstLine="640" w:firstLineChars="200"/>
        <w:rPr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 xml:space="preserve">7. Заявитель, подающий заявку на осуществление проекта, касающегося этики научных исследований и научно-технической безопасности (биобезопасности, информационной безопасности и т. д.), должен строго соблюдать соответствующие законы, нормативные акты и этические кодексы Китая, а также загружать электронные сканы соответствующих материалов по требованию.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8. Городской фонд не поддерживает подачу заявителем нескольких заявок на один и тот же или практически один и тот же проект в различных учреждениях. В случае новых проектов, предложенных заявителем на основе проектов, профинансированных ранее городским фондом или другими учреждениями (например, Министерством науки и технологий КНР, Советом Государственного фонда естественных наук Китая), должны быть четко указаны сходства и различия между ранее профинансированными проектами и новыми проектами, отношения преемственности и развития между ними.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9. После получения гранта проект должен быть подписан заявителем и основными членами проектной группы на бумажном носителе. Если кто-либо из основных членов проектной команды не может подписать форму заявки на бумажном носителе, он должен оформить осознанное согласие, которое будет представлено вместе с бумажной заявкой в виде приложения.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Результаты исследований (научные статьи, научный труд и т. д.), полученные в рамках финансируемых проектов, должны быть помечены надписью «Финансируется Городским фондом естественных наук Пекина» (на английском языке: Supported by Beijing Natural Science Foundation) и номером проекта.</w:t>
      </w:r>
    </w:p>
    <w:p>
      <w:pPr>
        <w:wordWrap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10. Присвоение, использование и передача прав интеллектуальной собственности, сформированных в результате исследований в рамках проектов для иностранных ученых, должны осуществляться в соответствии с китайскими законами и нормативными актами.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hd w:val="clear" w:color="auto" w:fill="FFFFFF"/>
          <w:lang w:val="ru-RU"/>
        </w:rPr>
        <w:t>(II) Примечания для поддерживающих учреждений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1. Для проектов для иностранных ученых применяется система подачи заявки по рекомендации поддерживающих учреждений, которые должны провести работу по рекомендации в своих учреждениях и выдать рекомендательные письма в соответствии с требованиями настоящей инструкции. Рекомендуется ознакомиться с образцом рекомендательного письма поддерживающего учреждения для его подготовки и заверить его официальной печатью поддерживающего учреждения (примечание: печать отдела управления научно-исследовательскими исследованиями, печать второстепенного института и прочие недействительны). Гражданство, указанное в рекомендательном письме и форме заявки, должно соответствовать фактическому гражданству заявителя. Оригинал рекомендательного письма должен быть представлен в офис Комитета Городского фонда естественных наук Пекина (далее – офис фонда) при подаче заявки на проект.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2. Поддерживающее учреждение должно проверять представленные заявителем своего учреждения заявочные материалы на подлинность, полноту и соответствие, уделять приоритетное внимание опыту заявителя в проведении фундаментальных исследований, необходимости включения заявителя в проект, а также тем фактам, что работа, которую будет выполнять заявитель, является инновационной фундаментальной исследовательской работой, что учебное заведение, который заявитель окончил, входит в число топ-500 вузов по мировому рейтингу QS, или заявитель окончил учебу в китайском или зарубежном известном научно-исследовательском институте, что срок действия контракта или соглашения о сотрудничестве охватывает цикл реализации проекта, на который подается заявка.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3. На этапе подачи заявки на проект от поддерживающего учреждения не требуется заявка на бумажном носителе. После того, как проект будет профинансирован, поддерживающее учреждение должно в едином порядке представить в офис фонда оригиналы заявки, задания и других приложений.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4. После утверждения проектов для иностранных ученых проектные средства в пилотных учреждениях, не внедряющих систему ответственности за выполнение научно-исследовательских проектов за счет фиксированных бюджетных ассигнований, должны быть реализованы в соответствии с «Мерами по управлению проектными средствами, финансируемыми Городским фондом естественных наук Пекина» (Цзин Цай Кэ Вэнь [2017] №1842), а проектные средства в пилотных учреждениях, внедряющих систему ответственности за выполнение научно-исследовательских проектов за счет фиксированных бюджетных ассигнований, должны быть реализованы в соответствии с «Мерами по управлению проектными средствами, финансируемыми Городским фондом естественных наук Пекина, по системе ответственности за выполнение научно-исследовательских проектов за счет фиксированных бюджетных ассигнований (пробная версия)», а также в соответствии с правилами поддерживающих учреждений по соответствующему управлению. Если иностранный исследователь расторгнет контракт с поддерживающим учреждением в течение цикла реализации проекта, проект будет прекращен, а оставшиеся средства проекта будут возвращены поддерживающим учреждением в офис фонда. Средства, оставшиеся после завершения финансируемого проекта, при наличии членов проектной команды могут быть оставлены в поддерживающем учреждении для продолжения работы по фундаментальным исследованиям с согласия поддерживающего учреждения.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shd w:val="clear" w:color="auto" w:fill="FFFFFF"/>
          <w:lang w:val="ru-RU"/>
        </w:rPr>
        <w:t>5. Поддерживающее учреждение должно оказать активное содействие в приемке результатов научной работы по проекту в течение 30 дней со дня истечения срока финансирования проекта, оказать содействие руководителю проекта в составлении отчета об итогах исследовательской работы по финансируемому объекту и подготовке окончательного отчета о расходах на финансирование объекта. Кроме того, при достижении результатов в рамках финансируемого проекта необходимо одновременно представить соответствующие данные, например монографии, научные статьи, патенты и прочие с пометкой «Финансируется Городским фондом естественных наук Пекина» и номером проекта. Поддерживающее учреждение должно проверить приемочные материалы на подлинность и полноту, а также единообразно представить их в офис фонда.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2E0NmFkODdlOWUxZDIyZGQ3N2Q4ODE5NDZkOTMifQ=="/>
  </w:docVars>
  <w:rsids>
    <w:rsidRoot w:val="527B09EF"/>
    <w:rsid w:val="527B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2023-06-19T06:56:00Z</dcterms:created>
  <dc:creator>DELL</dc:creator>
  <cp:lastModifiedBy>DELL</cp:lastModifiedBy>
  <dcterms:modified xsi:type="dcterms:W3CDTF">2023-06-19T06:59:18Z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7FB7C7BDD642427D879A1760019616CD_11</vt:lpwstr>
  </property>
</Properties>
</file>